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87CC6" w14:textId="5F1DC45B" w:rsidR="00CC4F52" w:rsidRPr="00362A0D" w:rsidRDefault="00A35C88">
      <w:pPr>
        <w:spacing w:after="120"/>
      </w:pPr>
      <w:r w:rsidRPr="00362A0D">
        <w:rPr>
          <w:color w:val="000000"/>
          <w:sz w:val="24"/>
          <w:szCs w:val="24"/>
        </w:rPr>
        <w:t>Análisis Crítico del Discurso (ACD)</w:t>
      </w:r>
    </w:p>
    <w:tbl>
      <w:tblPr>
        <w:tblStyle w:val="Tablaconcuadrcula"/>
        <w:tblW w:w="9026" w:type="dxa"/>
        <w:tblLook w:val="0000" w:firstRow="0" w:lastRow="0" w:firstColumn="0" w:lastColumn="0" w:noHBand="0" w:noVBand="0"/>
      </w:tblPr>
      <w:tblGrid>
        <w:gridCol w:w="399"/>
        <w:gridCol w:w="1490"/>
        <w:gridCol w:w="1381"/>
        <w:gridCol w:w="892"/>
        <w:gridCol w:w="1097"/>
        <w:gridCol w:w="3767"/>
      </w:tblGrid>
      <w:tr w:rsidR="00CC4F52" w:rsidRPr="00362A0D" w14:paraId="4D0F85CB" w14:textId="77777777" w:rsidTr="00AF6D66">
        <w:tc>
          <w:tcPr>
            <w:tcW w:w="400" w:type="dxa"/>
          </w:tcPr>
          <w:p w14:paraId="18A782C9" w14:textId="77777777" w:rsidR="00CC4F52" w:rsidRPr="00362A0D" w:rsidRDefault="00A35C88">
            <w:pPr>
              <w:jc w:val="center"/>
            </w:pPr>
            <w:r w:rsidRPr="00362A0D">
              <w:rPr>
                <w:b/>
                <w:bCs/>
                <w:color w:val="000000"/>
                <w:sz w:val="18"/>
                <w:szCs w:val="18"/>
              </w:rPr>
              <w:t>#</w:t>
            </w:r>
          </w:p>
        </w:tc>
        <w:tc>
          <w:tcPr>
            <w:tcW w:w="1500" w:type="dxa"/>
          </w:tcPr>
          <w:p w14:paraId="6D511E1A" w14:textId="77777777" w:rsidR="00CC4F52" w:rsidRPr="00362A0D" w:rsidRDefault="00A35C88">
            <w:pPr>
              <w:jc w:val="center"/>
            </w:pPr>
            <w:r w:rsidRPr="00362A0D">
              <w:rPr>
                <w:b/>
                <w:bCs/>
                <w:color w:val="000000"/>
                <w:sz w:val="18"/>
                <w:szCs w:val="18"/>
              </w:rPr>
              <w:t>Dimensión del objetivo</w:t>
            </w:r>
          </w:p>
        </w:tc>
        <w:tc>
          <w:tcPr>
            <w:tcW w:w="1300" w:type="dxa"/>
          </w:tcPr>
          <w:p w14:paraId="5BFCB76A" w14:textId="77777777" w:rsidR="00CC4F52" w:rsidRPr="00362A0D" w:rsidRDefault="00A35C88">
            <w:pPr>
              <w:jc w:val="center"/>
            </w:pPr>
            <w:r w:rsidRPr="00362A0D">
              <w:rPr>
                <w:b/>
                <w:bCs/>
                <w:color w:val="000000"/>
                <w:sz w:val="18"/>
                <w:szCs w:val="18"/>
              </w:rPr>
              <w:t>Código primario</w:t>
            </w:r>
          </w:p>
        </w:tc>
        <w:tc>
          <w:tcPr>
            <w:tcW w:w="900" w:type="dxa"/>
          </w:tcPr>
          <w:p w14:paraId="091553F9" w14:textId="77777777" w:rsidR="00CC4F52" w:rsidRPr="00362A0D" w:rsidRDefault="00A35C88">
            <w:pPr>
              <w:jc w:val="center"/>
            </w:pPr>
            <w:r w:rsidRPr="00362A0D">
              <w:rPr>
                <w:b/>
                <w:bCs/>
                <w:color w:val="000000"/>
                <w:sz w:val="18"/>
                <w:szCs w:val="18"/>
              </w:rPr>
              <w:t>IC</w:t>
            </w:r>
          </w:p>
        </w:tc>
        <w:tc>
          <w:tcPr>
            <w:tcW w:w="1100" w:type="dxa"/>
          </w:tcPr>
          <w:p w14:paraId="1243319B" w14:textId="77777777" w:rsidR="00CC4F52" w:rsidRPr="00362A0D" w:rsidRDefault="00A35C88">
            <w:pPr>
              <w:jc w:val="center"/>
            </w:pPr>
            <w:r w:rsidRPr="00362A0D">
              <w:rPr>
                <w:b/>
                <w:bCs/>
                <w:color w:val="000000"/>
                <w:sz w:val="18"/>
                <w:szCs w:val="18"/>
              </w:rPr>
              <w:t>Categoría axial</w:t>
            </w:r>
          </w:p>
        </w:tc>
        <w:tc>
          <w:tcPr>
            <w:tcW w:w="3826" w:type="dxa"/>
          </w:tcPr>
          <w:p w14:paraId="36D2B8FD" w14:textId="77777777" w:rsidR="00CC4F52" w:rsidRPr="00362A0D" w:rsidRDefault="00A35C88">
            <w:pPr>
              <w:jc w:val="center"/>
            </w:pPr>
            <w:r w:rsidRPr="00362A0D">
              <w:rPr>
                <w:b/>
                <w:bCs/>
                <w:color w:val="000000"/>
                <w:sz w:val="18"/>
                <w:szCs w:val="18"/>
              </w:rPr>
              <w:t>Unidad de sentido</w:t>
            </w:r>
          </w:p>
        </w:tc>
      </w:tr>
      <w:tr w:rsidR="00CC4F52" w:rsidRPr="00362A0D" w14:paraId="345749B0" w14:textId="77777777" w:rsidTr="00AF6D66">
        <w:tc>
          <w:tcPr>
            <w:tcW w:w="400" w:type="dxa"/>
          </w:tcPr>
          <w:p w14:paraId="678CAC50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00" w:type="dxa"/>
          </w:tcPr>
          <w:p w14:paraId="1ABB64A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Agilidad curricular / tecnológica</w:t>
            </w:r>
          </w:p>
        </w:tc>
        <w:tc>
          <w:tcPr>
            <w:tcW w:w="1300" w:type="dxa"/>
          </w:tcPr>
          <w:p w14:paraId="22117AF1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C1: Retraso normalizado</w:t>
            </w:r>
          </w:p>
        </w:tc>
        <w:tc>
          <w:tcPr>
            <w:tcW w:w="900" w:type="dxa"/>
          </w:tcPr>
          <w:p w14:paraId="13A6375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IC3</w:t>
            </w:r>
          </w:p>
        </w:tc>
        <w:tc>
          <w:tcPr>
            <w:tcW w:w="1100" w:type="dxa"/>
          </w:tcPr>
          <w:p w14:paraId="6AA5922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6CE550BD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"Siempre llegamos retrasados en el cumplimiento del baremo de SUNEDU"</w:t>
            </w:r>
          </w:p>
        </w:tc>
      </w:tr>
      <w:tr w:rsidR="00CC4F52" w:rsidRPr="00362A0D" w14:paraId="669F4686" w14:textId="77777777" w:rsidTr="00AF6D66">
        <w:tc>
          <w:tcPr>
            <w:tcW w:w="400" w:type="dxa"/>
          </w:tcPr>
          <w:p w14:paraId="13B2B57D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00" w:type="dxa"/>
          </w:tcPr>
          <w:p w14:paraId="49E93A00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Agilidad curricular / tecnológica</w:t>
            </w:r>
          </w:p>
        </w:tc>
        <w:tc>
          <w:tcPr>
            <w:tcW w:w="1300" w:type="dxa"/>
          </w:tcPr>
          <w:p w14:paraId="1362F7AE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C1: Retraso normalizado</w:t>
            </w:r>
          </w:p>
        </w:tc>
        <w:tc>
          <w:tcPr>
            <w:tcW w:w="900" w:type="dxa"/>
          </w:tcPr>
          <w:p w14:paraId="56C4945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IC3</w:t>
            </w:r>
          </w:p>
        </w:tc>
        <w:tc>
          <w:tcPr>
            <w:tcW w:w="1100" w:type="dxa"/>
          </w:tcPr>
          <w:p w14:paraId="4E7BCE6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7EAA4ED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"Las iniciativas de actualización tecnológica también llegan tarde"</w:t>
            </w:r>
          </w:p>
        </w:tc>
      </w:tr>
      <w:tr w:rsidR="00CC4F52" w:rsidRPr="00362A0D" w14:paraId="66DCDEB5" w14:textId="77777777" w:rsidTr="00AF6D66">
        <w:tc>
          <w:tcPr>
            <w:tcW w:w="400" w:type="dxa"/>
          </w:tcPr>
          <w:p w14:paraId="07617A5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</w:tcPr>
          <w:p w14:paraId="419F3884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Agilidad curricular / tecnológica</w:t>
            </w:r>
          </w:p>
        </w:tc>
        <w:tc>
          <w:tcPr>
            <w:tcW w:w="1300" w:type="dxa"/>
          </w:tcPr>
          <w:p w14:paraId="144802C9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C1: Retraso normalizado</w:t>
            </w:r>
          </w:p>
        </w:tc>
        <w:tc>
          <w:tcPr>
            <w:tcW w:w="900" w:type="dxa"/>
          </w:tcPr>
          <w:p w14:paraId="299FA2E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IC3</w:t>
            </w:r>
          </w:p>
        </w:tc>
        <w:tc>
          <w:tcPr>
            <w:tcW w:w="1100" w:type="dxa"/>
          </w:tcPr>
          <w:p w14:paraId="6C392F23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68D24CE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"Enseñamos un software y ya está obsoleto"</w:t>
            </w:r>
          </w:p>
        </w:tc>
      </w:tr>
      <w:tr w:rsidR="00CC4F52" w:rsidRPr="00362A0D" w14:paraId="5ED16CC3" w14:textId="77777777" w:rsidTr="00AF6D66">
        <w:tc>
          <w:tcPr>
            <w:tcW w:w="400" w:type="dxa"/>
          </w:tcPr>
          <w:p w14:paraId="4258A6B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00" w:type="dxa"/>
          </w:tcPr>
          <w:p w14:paraId="5E006F9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Agilidad curricular / tecnológica</w:t>
            </w:r>
          </w:p>
        </w:tc>
        <w:tc>
          <w:tcPr>
            <w:tcW w:w="1300" w:type="dxa"/>
          </w:tcPr>
          <w:p w14:paraId="51C65ED4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C1: Retraso normalizado</w:t>
            </w:r>
          </w:p>
        </w:tc>
        <w:tc>
          <w:tcPr>
            <w:tcW w:w="900" w:type="dxa"/>
          </w:tcPr>
          <w:p w14:paraId="4230DCD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IC5</w:t>
            </w:r>
          </w:p>
        </w:tc>
        <w:tc>
          <w:tcPr>
            <w:tcW w:w="1100" w:type="dxa"/>
          </w:tcPr>
          <w:p w14:paraId="6794ADD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4DDE28D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"Las herramientas digitales que propusimos ya tienen versiones nuevas en el mercado"</w:t>
            </w:r>
          </w:p>
        </w:tc>
      </w:tr>
      <w:tr w:rsidR="00CC4F52" w:rsidRPr="00362A0D" w14:paraId="3CB72BA0" w14:textId="77777777" w:rsidTr="00AF6D66">
        <w:tc>
          <w:tcPr>
            <w:tcW w:w="400" w:type="dxa"/>
          </w:tcPr>
          <w:p w14:paraId="2346589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00" w:type="dxa"/>
          </w:tcPr>
          <w:p w14:paraId="5CC0A9CF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Agilidad curricular / tecnológica</w:t>
            </w:r>
          </w:p>
        </w:tc>
        <w:tc>
          <w:tcPr>
            <w:tcW w:w="1300" w:type="dxa"/>
          </w:tcPr>
          <w:p w14:paraId="663F630E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C2: Delegación normativa</w:t>
            </w:r>
          </w:p>
        </w:tc>
        <w:tc>
          <w:tcPr>
            <w:tcW w:w="900" w:type="dxa"/>
          </w:tcPr>
          <w:p w14:paraId="28C80FC4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IC5</w:t>
            </w:r>
          </w:p>
        </w:tc>
        <w:tc>
          <w:tcPr>
            <w:tcW w:w="1100" w:type="dxa"/>
          </w:tcPr>
          <w:p w14:paraId="1E11997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243913BE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"Para cuando logramos aprobar la modificación de la malla en el Consejo Universitario…"</w:t>
            </w:r>
          </w:p>
        </w:tc>
      </w:tr>
      <w:tr w:rsidR="00CC4F52" w:rsidRPr="00362A0D" w14:paraId="0449688E" w14:textId="77777777" w:rsidTr="00AF6D66">
        <w:tc>
          <w:tcPr>
            <w:tcW w:w="400" w:type="dxa"/>
          </w:tcPr>
          <w:p w14:paraId="5A117D8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00" w:type="dxa"/>
          </w:tcPr>
          <w:p w14:paraId="6C098D2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Agilidad curricular / tecnológica</w:t>
            </w:r>
          </w:p>
        </w:tc>
        <w:tc>
          <w:tcPr>
            <w:tcW w:w="1300" w:type="dxa"/>
          </w:tcPr>
          <w:p w14:paraId="45797E64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C2: Delegación normativa</w:t>
            </w:r>
          </w:p>
        </w:tc>
        <w:tc>
          <w:tcPr>
            <w:tcW w:w="900" w:type="dxa"/>
          </w:tcPr>
          <w:p w14:paraId="60F29F2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IC5</w:t>
            </w:r>
          </w:p>
        </w:tc>
        <w:tc>
          <w:tcPr>
            <w:tcW w:w="1100" w:type="dxa"/>
          </w:tcPr>
          <w:p w14:paraId="56D0EA1E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27B27544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"…y levantar las observaciones normativas de SUNEDU"</w:t>
            </w:r>
          </w:p>
        </w:tc>
      </w:tr>
      <w:tr w:rsidR="00CC4F52" w:rsidRPr="00362A0D" w14:paraId="00F011B9" w14:textId="77777777" w:rsidTr="00AF6D66">
        <w:tc>
          <w:tcPr>
            <w:tcW w:w="400" w:type="dxa"/>
          </w:tcPr>
          <w:p w14:paraId="0F3CC19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500" w:type="dxa"/>
          </w:tcPr>
          <w:p w14:paraId="28DA9113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Agilidad curricular / tecnológica</w:t>
            </w:r>
          </w:p>
        </w:tc>
        <w:tc>
          <w:tcPr>
            <w:tcW w:w="1300" w:type="dxa"/>
          </w:tcPr>
          <w:p w14:paraId="63FC3E9F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C2: Delegación normativa</w:t>
            </w:r>
          </w:p>
        </w:tc>
        <w:tc>
          <w:tcPr>
            <w:tcW w:w="900" w:type="dxa"/>
          </w:tcPr>
          <w:p w14:paraId="5EFB46D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IC5</w:t>
            </w:r>
          </w:p>
        </w:tc>
        <w:tc>
          <w:tcPr>
            <w:tcW w:w="1100" w:type="dxa"/>
          </w:tcPr>
          <w:p w14:paraId="68DA2B6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14BF10B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"Operamos con tiempos administrativos de tres años frente a cambios empresariales mensuales"</w:t>
            </w:r>
          </w:p>
        </w:tc>
      </w:tr>
      <w:tr w:rsidR="00CC4F52" w:rsidRPr="00362A0D" w14:paraId="511590A8" w14:textId="77777777" w:rsidTr="00AF6D66">
        <w:tc>
          <w:tcPr>
            <w:tcW w:w="400" w:type="dxa"/>
          </w:tcPr>
          <w:p w14:paraId="14E49B4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00" w:type="dxa"/>
          </w:tcPr>
          <w:p w14:paraId="2124FD8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Agilidad curricular / tecnológica</w:t>
            </w:r>
          </w:p>
        </w:tc>
        <w:tc>
          <w:tcPr>
            <w:tcW w:w="1300" w:type="dxa"/>
          </w:tcPr>
          <w:p w14:paraId="231F257C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C3: Rigidez procedimental</w:t>
            </w:r>
          </w:p>
        </w:tc>
        <w:tc>
          <w:tcPr>
            <w:tcW w:w="900" w:type="dxa"/>
          </w:tcPr>
          <w:p w14:paraId="7CEDC46C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IC4</w:t>
            </w:r>
          </w:p>
        </w:tc>
        <w:tc>
          <w:tcPr>
            <w:tcW w:w="1100" w:type="dxa"/>
          </w:tcPr>
          <w:p w14:paraId="4895588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2472543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"Al intentar cambiar un resumen para incluir tendencias post-pandemia requiere la aprobación del Vicerrectorado Académico"</w:t>
            </w:r>
          </w:p>
        </w:tc>
      </w:tr>
      <w:tr w:rsidR="00CC4F52" w:rsidRPr="00362A0D" w14:paraId="06AC1E18" w14:textId="77777777" w:rsidTr="00AF6D66">
        <w:tc>
          <w:tcPr>
            <w:tcW w:w="400" w:type="dxa"/>
          </w:tcPr>
          <w:p w14:paraId="435B4C3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500" w:type="dxa"/>
          </w:tcPr>
          <w:p w14:paraId="20884D0D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Agilidad curricular / tecnológica</w:t>
            </w:r>
          </w:p>
        </w:tc>
        <w:tc>
          <w:tcPr>
            <w:tcW w:w="1300" w:type="dxa"/>
          </w:tcPr>
          <w:p w14:paraId="2800A87E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C3: Rigidez procedimental</w:t>
            </w:r>
          </w:p>
        </w:tc>
        <w:tc>
          <w:tcPr>
            <w:tcW w:w="900" w:type="dxa"/>
          </w:tcPr>
          <w:p w14:paraId="3C4CA92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IC4</w:t>
            </w:r>
          </w:p>
        </w:tc>
        <w:tc>
          <w:tcPr>
            <w:tcW w:w="1100" w:type="dxa"/>
          </w:tcPr>
          <w:p w14:paraId="64027D5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4E9008BD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"…lo que demora varios semestres"</w:t>
            </w:r>
          </w:p>
        </w:tc>
      </w:tr>
      <w:tr w:rsidR="00CC4F52" w:rsidRPr="00362A0D" w14:paraId="36811BD3" w14:textId="77777777" w:rsidTr="00AF6D66">
        <w:tc>
          <w:tcPr>
            <w:tcW w:w="400" w:type="dxa"/>
          </w:tcPr>
          <w:p w14:paraId="140B339F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500" w:type="dxa"/>
          </w:tcPr>
          <w:p w14:paraId="0CC8176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Agilidad curricular / tecnológica</w:t>
            </w:r>
          </w:p>
        </w:tc>
        <w:tc>
          <w:tcPr>
            <w:tcW w:w="1300" w:type="dxa"/>
          </w:tcPr>
          <w:p w14:paraId="7335BC0D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C3: Rigidez procedimental</w:t>
            </w:r>
          </w:p>
        </w:tc>
        <w:tc>
          <w:tcPr>
            <w:tcW w:w="900" w:type="dxa"/>
          </w:tcPr>
          <w:p w14:paraId="6F7C3A6D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IC4</w:t>
            </w:r>
          </w:p>
        </w:tc>
        <w:tc>
          <w:tcPr>
            <w:tcW w:w="1100" w:type="dxa"/>
          </w:tcPr>
          <w:p w14:paraId="0BDA639C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542BFC7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"Esto imposibilita reaccionar a la velocidad que exige el sector turístico actual"</w:t>
            </w:r>
          </w:p>
        </w:tc>
      </w:tr>
      <w:tr w:rsidR="00CC4F52" w:rsidRPr="00362A0D" w14:paraId="5A3EC6D1" w14:textId="77777777" w:rsidTr="00AF6D66">
        <w:tc>
          <w:tcPr>
            <w:tcW w:w="400" w:type="dxa"/>
          </w:tcPr>
          <w:p w14:paraId="1215492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500" w:type="dxa"/>
          </w:tcPr>
          <w:p w14:paraId="55A3BB9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Disonancia tecnológica / recursos</w:t>
            </w:r>
          </w:p>
        </w:tc>
        <w:tc>
          <w:tcPr>
            <w:tcW w:w="1300" w:type="dxa"/>
          </w:tcPr>
          <w:p w14:paraId="0560CE67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C4: Enseñanza simulada</w:t>
            </w:r>
          </w:p>
        </w:tc>
        <w:tc>
          <w:tcPr>
            <w:tcW w:w="900" w:type="dxa"/>
          </w:tcPr>
          <w:p w14:paraId="6DDAF58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IC1</w:t>
            </w:r>
          </w:p>
        </w:tc>
        <w:tc>
          <w:tcPr>
            <w:tcW w:w="1100" w:type="dxa"/>
          </w:tcPr>
          <w:p w14:paraId="0409E0B0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09FD6CAC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"Enseñamos tecnología desde la teoría"</w:t>
            </w:r>
          </w:p>
        </w:tc>
      </w:tr>
      <w:tr w:rsidR="00CC4F52" w:rsidRPr="00362A0D" w14:paraId="6695BA60" w14:textId="77777777" w:rsidTr="00AF6D66">
        <w:tc>
          <w:tcPr>
            <w:tcW w:w="400" w:type="dxa"/>
          </w:tcPr>
          <w:p w14:paraId="355E32F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500" w:type="dxa"/>
          </w:tcPr>
          <w:p w14:paraId="79D51A6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Disonancia tecnológica / recursos</w:t>
            </w:r>
          </w:p>
        </w:tc>
        <w:tc>
          <w:tcPr>
            <w:tcW w:w="1300" w:type="dxa"/>
          </w:tcPr>
          <w:p w14:paraId="7F637706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C4: Enseñanza simulada</w:t>
            </w:r>
          </w:p>
        </w:tc>
        <w:tc>
          <w:tcPr>
            <w:tcW w:w="900" w:type="dxa"/>
          </w:tcPr>
          <w:p w14:paraId="25DA20A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IC1</w:t>
            </w:r>
          </w:p>
        </w:tc>
        <w:tc>
          <w:tcPr>
            <w:tcW w:w="1100" w:type="dxa"/>
          </w:tcPr>
          <w:p w14:paraId="3C22BFA4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1C1ED9C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"Tenemos que aprender a utilizar capturas de pantalla o versiones demo gratuitas que caducan a los treinta días"</w:t>
            </w:r>
          </w:p>
        </w:tc>
      </w:tr>
      <w:tr w:rsidR="00CC4F52" w:rsidRPr="00362A0D" w14:paraId="7047CCBD" w14:textId="77777777" w:rsidTr="00AF6D66">
        <w:tc>
          <w:tcPr>
            <w:tcW w:w="400" w:type="dxa"/>
          </w:tcPr>
          <w:p w14:paraId="191BE43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500" w:type="dxa"/>
          </w:tcPr>
          <w:p w14:paraId="5E0F0F0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Disonancia tecnológica / recursos</w:t>
            </w:r>
          </w:p>
        </w:tc>
        <w:tc>
          <w:tcPr>
            <w:tcW w:w="1300" w:type="dxa"/>
          </w:tcPr>
          <w:p w14:paraId="02C0AC2F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C4: Enseñanza simulada</w:t>
            </w:r>
          </w:p>
        </w:tc>
        <w:tc>
          <w:tcPr>
            <w:tcW w:w="900" w:type="dxa"/>
          </w:tcPr>
          <w:p w14:paraId="349A275F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IC5</w:t>
            </w:r>
          </w:p>
        </w:tc>
        <w:tc>
          <w:tcPr>
            <w:tcW w:w="1100" w:type="dxa"/>
          </w:tcPr>
          <w:p w14:paraId="18E5260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29EFD193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"El docente termina enseñando con Excel básico simulando un sistema avanzado"</w:t>
            </w:r>
          </w:p>
        </w:tc>
      </w:tr>
      <w:tr w:rsidR="00CC4F52" w:rsidRPr="00362A0D" w14:paraId="7FA4DE3F" w14:textId="77777777" w:rsidTr="00AF6D66">
        <w:tc>
          <w:tcPr>
            <w:tcW w:w="400" w:type="dxa"/>
          </w:tcPr>
          <w:p w14:paraId="0D8674C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500" w:type="dxa"/>
          </w:tcPr>
          <w:p w14:paraId="7A3AFBE3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Disonancia tecnológica / recursos</w:t>
            </w:r>
          </w:p>
        </w:tc>
        <w:tc>
          <w:tcPr>
            <w:tcW w:w="1300" w:type="dxa"/>
          </w:tcPr>
          <w:p w14:paraId="43DE2E7F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C5: Brecha presupuestal</w:t>
            </w:r>
          </w:p>
        </w:tc>
        <w:tc>
          <w:tcPr>
            <w:tcW w:w="900" w:type="dxa"/>
          </w:tcPr>
          <w:p w14:paraId="3DAAA1DE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IC1</w:t>
            </w:r>
          </w:p>
        </w:tc>
        <w:tc>
          <w:tcPr>
            <w:tcW w:w="1100" w:type="dxa"/>
          </w:tcPr>
          <w:p w14:paraId="5610926C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54CE0BB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"Al no tener presupuesto para licencias anuales de PMS o CRM de cadena internacional"</w:t>
            </w:r>
          </w:p>
        </w:tc>
      </w:tr>
      <w:tr w:rsidR="00CC4F52" w:rsidRPr="00362A0D" w14:paraId="6A5BC13E" w14:textId="77777777" w:rsidTr="00AF6D66">
        <w:tc>
          <w:tcPr>
            <w:tcW w:w="400" w:type="dxa"/>
          </w:tcPr>
          <w:p w14:paraId="72EF048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500" w:type="dxa"/>
          </w:tcPr>
          <w:p w14:paraId="568CBF2D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Disonancia tecnológica / recursos</w:t>
            </w:r>
          </w:p>
        </w:tc>
        <w:tc>
          <w:tcPr>
            <w:tcW w:w="1300" w:type="dxa"/>
          </w:tcPr>
          <w:p w14:paraId="708EF3FE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C5: Brecha presupuestal</w:t>
            </w:r>
          </w:p>
        </w:tc>
        <w:tc>
          <w:tcPr>
            <w:tcW w:w="900" w:type="dxa"/>
          </w:tcPr>
          <w:p w14:paraId="37333E8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IC5</w:t>
            </w:r>
          </w:p>
        </w:tc>
        <w:tc>
          <w:tcPr>
            <w:tcW w:w="1100" w:type="dxa"/>
          </w:tcPr>
          <w:p w14:paraId="43F2803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492D4FD0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"La inversión se destina a la infraestructura física, dejando de lado el software"</w:t>
            </w:r>
          </w:p>
        </w:tc>
      </w:tr>
      <w:tr w:rsidR="00CC4F52" w:rsidRPr="00362A0D" w14:paraId="33B06C30" w14:textId="77777777" w:rsidTr="00AF6D66">
        <w:tc>
          <w:tcPr>
            <w:tcW w:w="400" w:type="dxa"/>
          </w:tcPr>
          <w:p w14:paraId="5D1149D4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500" w:type="dxa"/>
          </w:tcPr>
          <w:p w14:paraId="7B4A2FD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Disonancia tecnológica / recursos</w:t>
            </w:r>
          </w:p>
        </w:tc>
        <w:tc>
          <w:tcPr>
            <w:tcW w:w="1300" w:type="dxa"/>
          </w:tcPr>
          <w:p w14:paraId="681A4589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C5: Brecha presupuestal</w:t>
            </w:r>
          </w:p>
        </w:tc>
        <w:tc>
          <w:tcPr>
            <w:tcW w:w="900" w:type="dxa"/>
          </w:tcPr>
          <w:p w14:paraId="52EA917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IC1</w:t>
            </w:r>
          </w:p>
        </w:tc>
        <w:tc>
          <w:tcPr>
            <w:tcW w:w="1100" w:type="dxa"/>
          </w:tcPr>
          <w:p w14:paraId="0BDBE71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0E3C205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"El alumno no puede tocar la data"</w:t>
            </w:r>
          </w:p>
        </w:tc>
      </w:tr>
      <w:tr w:rsidR="00CC4F52" w:rsidRPr="00362A0D" w14:paraId="10D99F5B" w14:textId="77777777" w:rsidTr="00AF6D66">
        <w:tc>
          <w:tcPr>
            <w:tcW w:w="400" w:type="dxa"/>
          </w:tcPr>
          <w:p w14:paraId="1233401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500" w:type="dxa"/>
          </w:tcPr>
          <w:p w14:paraId="532E4CE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Disonancia tecnológica / recursos</w:t>
            </w:r>
          </w:p>
        </w:tc>
        <w:tc>
          <w:tcPr>
            <w:tcW w:w="1300" w:type="dxa"/>
          </w:tcPr>
          <w:p w14:paraId="3248391E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C6: Artefacto simbólico</w:t>
            </w:r>
          </w:p>
        </w:tc>
        <w:tc>
          <w:tcPr>
            <w:tcW w:w="900" w:type="dxa"/>
          </w:tcPr>
          <w:p w14:paraId="17C4048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IC5</w:t>
            </w:r>
          </w:p>
        </w:tc>
        <w:tc>
          <w:tcPr>
            <w:tcW w:w="1100" w:type="dxa"/>
          </w:tcPr>
          <w:p w14:paraId="55EE4D3D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3215FEB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"Nuestros laboratorios tienen computadoras, pero no tienen las herramientas de Business Intelligence"</w:t>
            </w:r>
          </w:p>
        </w:tc>
      </w:tr>
      <w:tr w:rsidR="00CC4F52" w:rsidRPr="00362A0D" w14:paraId="22A3909A" w14:textId="77777777" w:rsidTr="00AF6D66">
        <w:tc>
          <w:tcPr>
            <w:tcW w:w="400" w:type="dxa"/>
          </w:tcPr>
          <w:p w14:paraId="07C3169E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500" w:type="dxa"/>
          </w:tcPr>
          <w:p w14:paraId="6247537C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Disonancia tecnológica / recursos</w:t>
            </w:r>
          </w:p>
        </w:tc>
        <w:tc>
          <w:tcPr>
            <w:tcW w:w="1300" w:type="dxa"/>
          </w:tcPr>
          <w:p w14:paraId="655A9CB4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C6: Artefacto simbólico</w:t>
            </w:r>
          </w:p>
        </w:tc>
        <w:tc>
          <w:tcPr>
            <w:tcW w:w="900" w:type="dxa"/>
          </w:tcPr>
          <w:p w14:paraId="603A8B5E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IC1</w:t>
            </w:r>
          </w:p>
        </w:tc>
        <w:tc>
          <w:tcPr>
            <w:tcW w:w="1100" w:type="dxa"/>
          </w:tcPr>
          <w:p w14:paraId="4101772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7045037C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El perfil de egreso enuncia competencias digitales no desarrolladas en la práctica pedagógica</w:t>
            </w:r>
          </w:p>
        </w:tc>
      </w:tr>
      <w:tr w:rsidR="00CC4F52" w:rsidRPr="00362A0D" w14:paraId="41E4D0DD" w14:textId="77777777" w:rsidTr="00AF6D66">
        <w:tc>
          <w:tcPr>
            <w:tcW w:w="400" w:type="dxa"/>
          </w:tcPr>
          <w:p w14:paraId="77EF34C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500" w:type="dxa"/>
          </w:tcPr>
          <w:p w14:paraId="2EC9293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Disonancia tecnológica / recursos</w:t>
            </w:r>
          </w:p>
        </w:tc>
        <w:tc>
          <w:tcPr>
            <w:tcW w:w="1300" w:type="dxa"/>
          </w:tcPr>
          <w:p w14:paraId="763ED1F5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C6: Artefacto simbólico</w:t>
            </w:r>
          </w:p>
        </w:tc>
        <w:tc>
          <w:tcPr>
            <w:tcW w:w="900" w:type="dxa"/>
          </w:tcPr>
          <w:p w14:paraId="63099FEF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IC3</w:t>
            </w:r>
          </w:p>
        </w:tc>
        <w:tc>
          <w:tcPr>
            <w:tcW w:w="1100" w:type="dxa"/>
          </w:tcPr>
          <w:p w14:paraId="03497E74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3584C77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Comités asesores que operan como artefactos de acreditación sin transferencia real al currículo</w:t>
            </w:r>
          </w:p>
        </w:tc>
      </w:tr>
      <w:tr w:rsidR="00CC4F52" w:rsidRPr="00362A0D" w14:paraId="209D58EC" w14:textId="77777777" w:rsidTr="00AF6D66">
        <w:tc>
          <w:tcPr>
            <w:tcW w:w="400" w:type="dxa"/>
          </w:tcPr>
          <w:p w14:paraId="022D745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500" w:type="dxa"/>
          </w:tcPr>
          <w:p w14:paraId="24D5277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Competencias blandas / pedagógico</w:t>
            </w:r>
          </w:p>
        </w:tc>
        <w:tc>
          <w:tcPr>
            <w:tcW w:w="1300" w:type="dxa"/>
          </w:tcPr>
          <w:p w14:paraId="2056DADE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C7: Abdicación pedagógica</w:t>
            </w:r>
          </w:p>
        </w:tc>
        <w:tc>
          <w:tcPr>
            <w:tcW w:w="900" w:type="dxa"/>
          </w:tcPr>
          <w:p w14:paraId="3F1745B3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IC2</w:t>
            </w:r>
          </w:p>
        </w:tc>
        <w:tc>
          <w:tcPr>
            <w:tcW w:w="1100" w:type="dxa"/>
          </w:tcPr>
          <w:p w14:paraId="7AD9AFB4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0C3677C4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"No incluimos materias específicas sobre resiliencia o inteligencia emocional"</w:t>
            </w:r>
          </w:p>
        </w:tc>
      </w:tr>
      <w:tr w:rsidR="00CC4F52" w:rsidRPr="00362A0D" w14:paraId="3045FB09" w14:textId="77777777" w:rsidTr="00AF6D66">
        <w:tc>
          <w:tcPr>
            <w:tcW w:w="400" w:type="dxa"/>
          </w:tcPr>
          <w:p w14:paraId="4F690A7C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500" w:type="dxa"/>
          </w:tcPr>
          <w:p w14:paraId="0BC40C1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Competencias blandas / pedagógico</w:t>
            </w:r>
          </w:p>
        </w:tc>
        <w:tc>
          <w:tcPr>
            <w:tcW w:w="1300" w:type="dxa"/>
          </w:tcPr>
          <w:p w14:paraId="7B10AE69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C7: Abdicación pedagógica</w:t>
            </w:r>
          </w:p>
        </w:tc>
        <w:tc>
          <w:tcPr>
            <w:tcW w:w="900" w:type="dxa"/>
          </w:tcPr>
          <w:p w14:paraId="49FFED1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IC2</w:t>
            </w:r>
          </w:p>
        </w:tc>
        <w:tc>
          <w:tcPr>
            <w:tcW w:w="1100" w:type="dxa"/>
          </w:tcPr>
          <w:p w14:paraId="7A37DB2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4BDE754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"Creemos que esas competencias se aprenden en la práctica"</w:t>
            </w:r>
          </w:p>
        </w:tc>
      </w:tr>
      <w:tr w:rsidR="00CC4F52" w:rsidRPr="00362A0D" w14:paraId="1951A263" w14:textId="77777777" w:rsidTr="00AF6D66">
        <w:tc>
          <w:tcPr>
            <w:tcW w:w="400" w:type="dxa"/>
          </w:tcPr>
          <w:p w14:paraId="07BC64BC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500" w:type="dxa"/>
          </w:tcPr>
          <w:p w14:paraId="6171395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Competencias blandas / pedagógico</w:t>
            </w:r>
          </w:p>
        </w:tc>
        <w:tc>
          <w:tcPr>
            <w:tcW w:w="1300" w:type="dxa"/>
          </w:tcPr>
          <w:p w14:paraId="4FB0BB08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C7: Abdicación pedagógica</w:t>
            </w:r>
          </w:p>
        </w:tc>
        <w:tc>
          <w:tcPr>
            <w:tcW w:w="900" w:type="dxa"/>
          </w:tcPr>
          <w:p w14:paraId="4A03FD3E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IC2</w:t>
            </w:r>
          </w:p>
        </w:tc>
        <w:tc>
          <w:tcPr>
            <w:tcW w:w="1100" w:type="dxa"/>
          </w:tcPr>
          <w:p w14:paraId="16171D7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0FD27EA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"El plan de estudios supone que el alumno desarrolle esas habilidades al enfrentarse a la presión de las prácticas"</w:t>
            </w:r>
          </w:p>
        </w:tc>
      </w:tr>
      <w:tr w:rsidR="00CC4F52" w:rsidRPr="00362A0D" w14:paraId="1FEB5BE9" w14:textId="77777777" w:rsidTr="00AF6D66">
        <w:tc>
          <w:tcPr>
            <w:tcW w:w="400" w:type="dxa"/>
          </w:tcPr>
          <w:p w14:paraId="6BCF820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500" w:type="dxa"/>
          </w:tcPr>
          <w:p w14:paraId="12BB82F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Competencias blandas / pedagógico</w:t>
            </w:r>
          </w:p>
        </w:tc>
        <w:tc>
          <w:tcPr>
            <w:tcW w:w="1300" w:type="dxa"/>
          </w:tcPr>
          <w:p w14:paraId="3E9BD123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C7: Abdicación pedagógica</w:t>
            </w:r>
          </w:p>
        </w:tc>
        <w:tc>
          <w:tcPr>
            <w:tcW w:w="900" w:type="dxa"/>
          </w:tcPr>
          <w:p w14:paraId="7AB3074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IC2</w:t>
            </w:r>
          </w:p>
        </w:tc>
        <w:tc>
          <w:tcPr>
            <w:tcW w:w="1100" w:type="dxa"/>
          </w:tcPr>
          <w:p w14:paraId="412B074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Inercia inst.</w:t>
            </w:r>
          </w:p>
        </w:tc>
        <w:tc>
          <w:tcPr>
            <w:tcW w:w="3826" w:type="dxa"/>
          </w:tcPr>
          <w:p w14:paraId="2AC342EE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"Sin que nosotros intervengamos"</w:t>
            </w:r>
          </w:p>
        </w:tc>
      </w:tr>
      <w:tr w:rsidR="00CC4F52" w:rsidRPr="00362A0D" w14:paraId="0AA0412C" w14:textId="77777777" w:rsidTr="00AF6D66">
        <w:tc>
          <w:tcPr>
            <w:tcW w:w="400" w:type="dxa"/>
          </w:tcPr>
          <w:p w14:paraId="2331BD0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500" w:type="dxa"/>
          </w:tcPr>
          <w:p w14:paraId="462CB484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Competencias blandas / pedagógico</w:t>
            </w:r>
          </w:p>
        </w:tc>
        <w:tc>
          <w:tcPr>
            <w:tcW w:w="1300" w:type="dxa"/>
          </w:tcPr>
          <w:p w14:paraId="3C160E09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C8: Currículo oculto</w:t>
            </w:r>
          </w:p>
        </w:tc>
        <w:tc>
          <w:tcPr>
            <w:tcW w:w="900" w:type="dxa"/>
          </w:tcPr>
          <w:p w14:paraId="3525403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IC1</w:t>
            </w:r>
          </w:p>
        </w:tc>
        <w:tc>
          <w:tcPr>
            <w:tcW w:w="1100" w:type="dxa"/>
          </w:tcPr>
          <w:p w14:paraId="711C783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6C3D66DE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"La carga académica se centra en lo técnico y normativo, dejando lo social a la experiencia personal"</w:t>
            </w:r>
          </w:p>
        </w:tc>
      </w:tr>
      <w:tr w:rsidR="00CC4F52" w:rsidRPr="00362A0D" w14:paraId="5595E5CB" w14:textId="77777777" w:rsidTr="00AF6D66">
        <w:tc>
          <w:tcPr>
            <w:tcW w:w="400" w:type="dxa"/>
          </w:tcPr>
          <w:p w14:paraId="40F0E57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1500" w:type="dxa"/>
          </w:tcPr>
          <w:p w14:paraId="749FCDB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Competencias blandas / pedagógico</w:t>
            </w:r>
          </w:p>
        </w:tc>
        <w:tc>
          <w:tcPr>
            <w:tcW w:w="1300" w:type="dxa"/>
          </w:tcPr>
          <w:p w14:paraId="31A3A3E6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C8: Currículo oculto</w:t>
            </w:r>
          </w:p>
        </w:tc>
        <w:tc>
          <w:tcPr>
            <w:tcW w:w="900" w:type="dxa"/>
          </w:tcPr>
          <w:p w14:paraId="6DD36DDE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IC1</w:t>
            </w:r>
          </w:p>
        </w:tc>
        <w:tc>
          <w:tcPr>
            <w:tcW w:w="1100" w:type="dxa"/>
          </w:tcPr>
          <w:p w14:paraId="632ACA2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7B99C7E0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"Confiamos en que el mercado termina de formar el carácter del estudiante"</w:t>
            </w:r>
          </w:p>
        </w:tc>
      </w:tr>
      <w:tr w:rsidR="00CC4F52" w:rsidRPr="00362A0D" w14:paraId="30403623" w14:textId="77777777" w:rsidTr="00AF6D66">
        <w:tc>
          <w:tcPr>
            <w:tcW w:w="400" w:type="dxa"/>
          </w:tcPr>
          <w:p w14:paraId="729D7BAD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500" w:type="dxa"/>
          </w:tcPr>
          <w:p w14:paraId="1E9EA15F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Competencias blandas / pedagógico</w:t>
            </w:r>
          </w:p>
        </w:tc>
        <w:tc>
          <w:tcPr>
            <w:tcW w:w="1300" w:type="dxa"/>
          </w:tcPr>
          <w:p w14:paraId="46A1875D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C8: Currículo oculto</w:t>
            </w:r>
          </w:p>
        </w:tc>
        <w:tc>
          <w:tcPr>
            <w:tcW w:w="900" w:type="dxa"/>
          </w:tcPr>
          <w:p w14:paraId="3DD2CA0F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IC2</w:t>
            </w:r>
          </w:p>
        </w:tc>
        <w:tc>
          <w:tcPr>
            <w:tcW w:w="1100" w:type="dxa"/>
          </w:tcPr>
          <w:p w14:paraId="5A9E820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0DEF4BE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La explotación emocional del sector servicios se aprende de forma implícita, sin andamiaje pedagógico formal</w:t>
            </w:r>
          </w:p>
        </w:tc>
      </w:tr>
      <w:tr w:rsidR="00CC4F52" w:rsidRPr="00362A0D" w14:paraId="5FA85A98" w14:textId="77777777" w:rsidTr="00AF6D66">
        <w:tc>
          <w:tcPr>
            <w:tcW w:w="400" w:type="dxa"/>
          </w:tcPr>
          <w:p w14:paraId="2A69A64C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500" w:type="dxa"/>
          </w:tcPr>
          <w:p w14:paraId="321D7353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Vinculación con entorno / estratégico</w:t>
            </w:r>
          </w:p>
        </w:tc>
        <w:tc>
          <w:tcPr>
            <w:tcW w:w="1300" w:type="dxa"/>
          </w:tcPr>
          <w:p w14:paraId="2EDDF618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C9: Desacoplamiento misión</w:t>
            </w:r>
          </w:p>
        </w:tc>
        <w:tc>
          <w:tcPr>
            <w:tcW w:w="900" w:type="dxa"/>
          </w:tcPr>
          <w:p w14:paraId="1436C060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IC1</w:t>
            </w:r>
          </w:p>
        </w:tc>
        <w:tc>
          <w:tcPr>
            <w:tcW w:w="1100" w:type="dxa"/>
          </w:tcPr>
          <w:p w14:paraId="137EEB8F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071F87C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"El perfil de egreso menciona liderazgo y adaptabilidad"</w:t>
            </w:r>
          </w:p>
        </w:tc>
      </w:tr>
      <w:tr w:rsidR="00CC4F52" w:rsidRPr="00362A0D" w14:paraId="29AB792A" w14:textId="77777777" w:rsidTr="00AF6D66">
        <w:tc>
          <w:tcPr>
            <w:tcW w:w="400" w:type="dxa"/>
          </w:tcPr>
          <w:p w14:paraId="58A864BD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500" w:type="dxa"/>
          </w:tcPr>
          <w:p w14:paraId="4F2D999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Vinculación con entorno / estratégico</w:t>
            </w:r>
          </w:p>
        </w:tc>
        <w:tc>
          <w:tcPr>
            <w:tcW w:w="1300" w:type="dxa"/>
          </w:tcPr>
          <w:p w14:paraId="236A74DA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C9: Desacoplamiento misión</w:t>
            </w:r>
          </w:p>
        </w:tc>
        <w:tc>
          <w:tcPr>
            <w:tcW w:w="900" w:type="dxa"/>
          </w:tcPr>
          <w:p w14:paraId="461182BF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IC1</w:t>
            </w:r>
          </w:p>
        </w:tc>
        <w:tc>
          <w:tcPr>
            <w:tcW w:w="1100" w:type="dxa"/>
          </w:tcPr>
          <w:p w14:paraId="28D1B20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0FA78BD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"Pero en realidad confiamos en que el mercado termina de formar el carácter del estudiante"</w:t>
            </w:r>
          </w:p>
        </w:tc>
      </w:tr>
      <w:tr w:rsidR="00CC4F52" w:rsidRPr="00362A0D" w14:paraId="6A2E8063" w14:textId="77777777" w:rsidTr="00AF6D66">
        <w:tc>
          <w:tcPr>
            <w:tcW w:w="400" w:type="dxa"/>
          </w:tcPr>
          <w:p w14:paraId="3254087D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500" w:type="dxa"/>
          </w:tcPr>
          <w:p w14:paraId="5CD6812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Vinculación con entorno / estratégico</w:t>
            </w:r>
          </w:p>
        </w:tc>
        <w:tc>
          <w:tcPr>
            <w:tcW w:w="1300" w:type="dxa"/>
          </w:tcPr>
          <w:p w14:paraId="2C254B33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C9: Desacoplamiento misión</w:t>
            </w:r>
          </w:p>
        </w:tc>
        <w:tc>
          <w:tcPr>
            <w:tcW w:w="900" w:type="dxa"/>
          </w:tcPr>
          <w:p w14:paraId="2DC2A67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Tri.</w:t>
            </w:r>
          </w:p>
        </w:tc>
        <w:tc>
          <w:tcPr>
            <w:tcW w:w="1100" w:type="dxa"/>
          </w:tcPr>
          <w:p w14:paraId="1F77F86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58810F2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Brecha entre competencias declaradas en el perfil de egreso y las verificadas por el SERVQUAL (Gap promedio: -1.52)</w:t>
            </w:r>
          </w:p>
        </w:tc>
      </w:tr>
      <w:tr w:rsidR="00CC4F52" w:rsidRPr="00362A0D" w14:paraId="41B2CC83" w14:textId="77777777" w:rsidTr="00AF6D66">
        <w:tc>
          <w:tcPr>
            <w:tcW w:w="400" w:type="dxa"/>
          </w:tcPr>
          <w:p w14:paraId="15004B8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500" w:type="dxa"/>
          </w:tcPr>
          <w:p w14:paraId="475E53A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Vinculación con entorno / estratégico</w:t>
            </w:r>
          </w:p>
        </w:tc>
        <w:tc>
          <w:tcPr>
            <w:tcW w:w="1300" w:type="dxa"/>
          </w:tcPr>
          <w:p w14:paraId="08BC372A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C10: Delegación al mercado</w:t>
            </w:r>
          </w:p>
        </w:tc>
        <w:tc>
          <w:tcPr>
            <w:tcW w:w="900" w:type="dxa"/>
          </w:tcPr>
          <w:p w14:paraId="379D05A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IC1</w:t>
            </w:r>
          </w:p>
        </w:tc>
        <w:tc>
          <w:tcPr>
            <w:tcW w:w="1100" w:type="dxa"/>
          </w:tcPr>
          <w:p w14:paraId="1DEE7E6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6174321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"El mercado termina de formar el carácter del estudiante"</w:t>
            </w:r>
          </w:p>
        </w:tc>
      </w:tr>
      <w:tr w:rsidR="00CC4F52" w:rsidRPr="00362A0D" w14:paraId="319D34AA" w14:textId="77777777" w:rsidTr="00AF6D66">
        <w:tc>
          <w:tcPr>
            <w:tcW w:w="400" w:type="dxa"/>
          </w:tcPr>
          <w:p w14:paraId="035C98D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500" w:type="dxa"/>
          </w:tcPr>
          <w:p w14:paraId="1260C62E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Vinculación con entorno / estratégico</w:t>
            </w:r>
          </w:p>
        </w:tc>
        <w:tc>
          <w:tcPr>
            <w:tcW w:w="1300" w:type="dxa"/>
          </w:tcPr>
          <w:p w14:paraId="259F842A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C10: Delegación al mercado</w:t>
            </w:r>
          </w:p>
        </w:tc>
        <w:tc>
          <w:tcPr>
            <w:tcW w:w="900" w:type="dxa"/>
          </w:tcPr>
          <w:p w14:paraId="739E149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IC2</w:t>
            </w:r>
          </w:p>
        </w:tc>
        <w:tc>
          <w:tcPr>
            <w:tcW w:w="1100" w:type="dxa"/>
          </w:tcPr>
          <w:p w14:paraId="12892D84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33A3E53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Las prácticas preprofesionales concebidas como único espacio de formación socioemocional</w:t>
            </w:r>
          </w:p>
        </w:tc>
      </w:tr>
      <w:tr w:rsidR="00CC4F52" w:rsidRPr="00362A0D" w14:paraId="24239086" w14:textId="77777777" w:rsidTr="00AF6D66">
        <w:tc>
          <w:tcPr>
            <w:tcW w:w="400" w:type="dxa"/>
          </w:tcPr>
          <w:p w14:paraId="76FA34BF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500" w:type="dxa"/>
          </w:tcPr>
          <w:p w14:paraId="77C67F2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Vinculación con entorno / estratégico</w:t>
            </w:r>
          </w:p>
        </w:tc>
        <w:tc>
          <w:tcPr>
            <w:tcW w:w="1300" w:type="dxa"/>
          </w:tcPr>
          <w:p w14:paraId="15097129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C10: Delegación al mercado</w:t>
            </w:r>
          </w:p>
        </w:tc>
        <w:tc>
          <w:tcPr>
            <w:tcW w:w="900" w:type="dxa"/>
          </w:tcPr>
          <w:p w14:paraId="2646F1F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Tri.</w:t>
            </w:r>
          </w:p>
        </w:tc>
        <w:tc>
          <w:tcPr>
            <w:tcW w:w="1100" w:type="dxa"/>
          </w:tcPr>
          <w:p w14:paraId="0ABD297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Discurso vs. realidad</w:t>
            </w:r>
          </w:p>
        </w:tc>
        <w:tc>
          <w:tcPr>
            <w:tcW w:w="3826" w:type="dxa"/>
          </w:tcPr>
          <w:p w14:paraId="15EC451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Alta rotación temprana en el sector como consecuencia de la vulnerabilidad emocional por delegación formativa</w:t>
            </w:r>
          </w:p>
        </w:tc>
      </w:tr>
      <w:tr w:rsidR="00CC4F52" w:rsidRPr="00362A0D" w14:paraId="2E8AF4D6" w14:textId="77777777" w:rsidTr="00AF6D66">
        <w:tc>
          <w:tcPr>
            <w:tcW w:w="400" w:type="dxa"/>
          </w:tcPr>
          <w:p w14:paraId="036C2040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500" w:type="dxa"/>
          </w:tcPr>
          <w:p w14:paraId="661DFA3C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2715B879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C11: Isomorfismo burocrático</w:t>
            </w:r>
          </w:p>
        </w:tc>
        <w:tc>
          <w:tcPr>
            <w:tcW w:w="900" w:type="dxa"/>
          </w:tcPr>
          <w:p w14:paraId="0752CA4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IC3</w:t>
            </w:r>
          </w:p>
        </w:tc>
        <w:tc>
          <w:tcPr>
            <w:tcW w:w="1100" w:type="dxa"/>
          </w:tcPr>
          <w:p w14:paraId="0E26FB3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087FEBEF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Exigencias de SUNEDU como motor principal de decisiones curriculares por encima de la pertinencia funcional</w:t>
            </w:r>
          </w:p>
        </w:tc>
      </w:tr>
      <w:tr w:rsidR="00CC4F52" w:rsidRPr="00362A0D" w14:paraId="1F4DA5BB" w14:textId="77777777" w:rsidTr="00AF6D66">
        <w:tc>
          <w:tcPr>
            <w:tcW w:w="400" w:type="dxa"/>
          </w:tcPr>
          <w:p w14:paraId="23DF746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500" w:type="dxa"/>
          </w:tcPr>
          <w:p w14:paraId="4E80A7BF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38B0238D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C11: Isomorfismo burocrático</w:t>
            </w:r>
          </w:p>
        </w:tc>
        <w:tc>
          <w:tcPr>
            <w:tcW w:w="900" w:type="dxa"/>
          </w:tcPr>
          <w:p w14:paraId="5850B7E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IC5</w:t>
            </w:r>
          </w:p>
        </w:tc>
        <w:tc>
          <w:tcPr>
            <w:tcW w:w="1100" w:type="dxa"/>
          </w:tcPr>
          <w:p w14:paraId="2BAC176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040A6EE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La acreditación como objetivo central que desplaza la actualización curricular a demanda del mercado</w:t>
            </w:r>
          </w:p>
        </w:tc>
      </w:tr>
      <w:tr w:rsidR="00CC4F52" w:rsidRPr="00362A0D" w14:paraId="042D08D0" w14:textId="77777777" w:rsidTr="00AF6D66">
        <w:tc>
          <w:tcPr>
            <w:tcW w:w="400" w:type="dxa"/>
          </w:tcPr>
          <w:p w14:paraId="00DBBC8C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500" w:type="dxa"/>
          </w:tcPr>
          <w:p w14:paraId="08DCF08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1F03F7DC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C11: Isomorfismo burocrático</w:t>
            </w:r>
          </w:p>
        </w:tc>
        <w:tc>
          <w:tcPr>
            <w:tcW w:w="900" w:type="dxa"/>
          </w:tcPr>
          <w:p w14:paraId="7648743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IC3</w:t>
            </w:r>
          </w:p>
        </w:tc>
        <w:tc>
          <w:tcPr>
            <w:tcW w:w="1100" w:type="dxa"/>
          </w:tcPr>
          <w:p w14:paraId="549F80DD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061F91E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Adopción de estructuras de universidades de mayor reputación sin adaptación funcional al contexto regional</w:t>
            </w:r>
          </w:p>
        </w:tc>
      </w:tr>
      <w:tr w:rsidR="00CC4F52" w:rsidRPr="00362A0D" w14:paraId="38716B35" w14:textId="77777777" w:rsidTr="00AF6D66">
        <w:tc>
          <w:tcPr>
            <w:tcW w:w="400" w:type="dxa"/>
          </w:tcPr>
          <w:p w14:paraId="4EB7C863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500" w:type="dxa"/>
          </w:tcPr>
          <w:p w14:paraId="7B8F59F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457BA7C2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C11: Isomorfismo burocrático</w:t>
            </w:r>
          </w:p>
        </w:tc>
        <w:tc>
          <w:tcPr>
            <w:tcW w:w="900" w:type="dxa"/>
          </w:tcPr>
          <w:p w14:paraId="33DF928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IC4</w:t>
            </w:r>
          </w:p>
        </w:tc>
        <w:tc>
          <w:tcPr>
            <w:tcW w:w="1100" w:type="dxa"/>
          </w:tcPr>
          <w:p w14:paraId="2304D860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0BEDAF7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Comités consultivos como isomorfismo mimético: vinculación empresarial aparente sin cambio real del núcleo técnico</w:t>
            </w:r>
          </w:p>
        </w:tc>
      </w:tr>
      <w:tr w:rsidR="00CC4F52" w:rsidRPr="00362A0D" w14:paraId="5F808C46" w14:textId="77777777" w:rsidTr="00AF6D66">
        <w:tc>
          <w:tcPr>
            <w:tcW w:w="400" w:type="dxa"/>
          </w:tcPr>
          <w:p w14:paraId="722A973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500" w:type="dxa"/>
          </w:tcPr>
          <w:p w14:paraId="66F7CCF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4B7F956C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C12: Violencia epistémica</w:t>
            </w:r>
          </w:p>
        </w:tc>
        <w:tc>
          <w:tcPr>
            <w:tcW w:w="900" w:type="dxa"/>
          </w:tcPr>
          <w:p w14:paraId="78941AB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Teor.</w:t>
            </w:r>
          </w:p>
        </w:tc>
        <w:tc>
          <w:tcPr>
            <w:tcW w:w="1100" w:type="dxa"/>
          </w:tcPr>
          <w:p w14:paraId="64D1A71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5A03D14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Currículo que suprime competencias emergentes del entorno VUCA mediante omisión sistemática</w:t>
            </w:r>
          </w:p>
        </w:tc>
      </w:tr>
      <w:tr w:rsidR="00CC4F52" w:rsidRPr="00362A0D" w14:paraId="39DF352B" w14:textId="77777777" w:rsidTr="00AF6D66">
        <w:tc>
          <w:tcPr>
            <w:tcW w:w="400" w:type="dxa"/>
          </w:tcPr>
          <w:p w14:paraId="61924074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500" w:type="dxa"/>
          </w:tcPr>
          <w:p w14:paraId="42BF98F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4B5C8BCE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C12: Violencia epistémica</w:t>
            </w:r>
          </w:p>
        </w:tc>
        <w:tc>
          <w:tcPr>
            <w:tcW w:w="900" w:type="dxa"/>
          </w:tcPr>
          <w:p w14:paraId="386C47A3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IC2</w:t>
            </w:r>
          </w:p>
        </w:tc>
        <w:tc>
          <w:tcPr>
            <w:tcW w:w="1100" w:type="dxa"/>
          </w:tcPr>
          <w:p w14:paraId="2D04FDF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3390176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Supresión de saberes socioemocionales: solo se enseña lo técnico y cuantificable</w:t>
            </w:r>
          </w:p>
        </w:tc>
      </w:tr>
      <w:tr w:rsidR="00CC4F52" w:rsidRPr="00362A0D" w14:paraId="1150661B" w14:textId="77777777" w:rsidTr="00AF6D66">
        <w:tc>
          <w:tcPr>
            <w:tcW w:w="400" w:type="dxa"/>
          </w:tcPr>
          <w:p w14:paraId="43078F8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500" w:type="dxa"/>
          </w:tcPr>
          <w:p w14:paraId="141A373D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4CC5E90A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C12: Violencia epistémica</w:t>
            </w:r>
          </w:p>
        </w:tc>
        <w:tc>
          <w:tcPr>
            <w:tcW w:w="900" w:type="dxa"/>
          </w:tcPr>
          <w:p w14:paraId="5F8A023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Teor.</w:t>
            </w:r>
          </w:p>
        </w:tc>
        <w:tc>
          <w:tcPr>
            <w:tcW w:w="1100" w:type="dxa"/>
          </w:tcPr>
          <w:p w14:paraId="4C83F32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7D145D6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Perpetuación de perfiles de egreso localistas desconectados de mercados emisores estratégicos</w:t>
            </w:r>
          </w:p>
        </w:tc>
      </w:tr>
      <w:tr w:rsidR="00CC4F52" w:rsidRPr="00362A0D" w14:paraId="411EB849" w14:textId="77777777" w:rsidTr="00AF6D66">
        <w:tc>
          <w:tcPr>
            <w:tcW w:w="400" w:type="dxa"/>
          </w:tcPr>
          <w:p w14:paraId="5469CF1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500" w:type="dxa"/>
          </w:tcPr>
          <w:p w14:paraId="7A3A381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26868D91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C13: Desplazamiento responsab.</w:t>
            </w:r>
          </w:p>
        </w:tc>
        <w:tc>
          <w:tcPr>
            <w:tcW w:w="900" w:type="dxa"/>
          </w:tcPr>
          <w:p w14:paraId="12F1CAF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IC5</w:t>
            </w:r>
          </w:p>
        </w:tc>
        <w:tc>
          <w:tcPr>
            <w:tcW w:w="1100" w:type="dxa"/>
          </w:tcPr>
          <w:p w14:paraId="6104570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7E8B4D3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SUNEDU reposicionada como causa del retraso, no como contexto gestionable institucionalmente</w:t>
            </w:r>
          </w:p>
        </w:tc>
      </w:tr>
      <w:tr w:rsidR="00CC4F52" w:rsidRPr="00362A0D" w14:paraId="4B9F6FF3" w14:textId="77777777" w:rsidTr="00AF6D66">
        <w:tc>
          <w:tcPr>
            <w:tcW w:w="400" w:type="dxa"/>
          </w:tcPr>
          <w:p w14:paraId="5290991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500" w:type="dxa"/>
          </w:tcPr>
          <w:p w14:paraId="104D052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75CAA8AA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C13: Desplazamiento responsab.</w:t>
            </w:r>
          </w:p>
        </w:tc>
        <w:tc>
          <w:tcPr>
            <w:tcW w:w="900" w:type="dxa"/>
          </w:tcPr>
          <w:p w14:paraId="7AB56E40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IC5</w:t>
            </w:r>
          </w:p>
        </w:tc>
        <w:tc>
          <w:tcPr>
            <w:tcW w:w="1100" w:type="dxa"/>
          </w:tcPr>
          <w:p w14:paraId="1D538E0E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297D6BD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El Consejo Universitario presentado como obstáculo inevitable, no como instancia de gestión decisional</w:t>
            </w:r>
          </w:p>
        </w:tc>
      </w:tr>
      <w:tr w:rsidR="00CC4F52" w:rsidRPr="00362A0D" w14:paraId="52216FCA" w14:textId="77777777" w:rsidTr="00AF6D66">
        <w:tc>
          <w:tcPr>
            <w:tcW w:w="400" w:type="dxa"/>
          </w:tcPr>
          <w:p w14:paraId="3E968A61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500" w:type="dxa"/>
          </w:tcPr>
          <w:p w14:paraId="3047818F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42420804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C13: Desplazamiento responsab.</w:t>
            </w:r>
          </w:p>
        </w:tc>
        <w:tc>
          <w:tcPr>
            <w:tcW w:w="900" w:type="dxa"/>
          </w:tcPr>
          <w:p w14:paraId="7A3A5CB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IC1</w:t>
            </w:r>
          </w:p>
        </w:tc>
        <w:tc>
          <w:tcPr>
            <w:tcW w:w="1100" w:type="dxa"/>
          </w:tcPr>
          <w:p w14:paraId="2C03BB76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263B75C3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El presupuesto presentado como causa objetiva, no como decisión de priorización institucional</w:t>
            </w:r>
          </w:p>
        </w:tc>
      </w:tr>
      <w:tr w:rsidR="00CC4F52" w:rsidRPr="00362A0D" w14:paraId="35EF6E84" w14:textId="77777777" w:rsidTr="00AF6D66">
        <w:tc>
          <w:tcPr>
            <w:tcW w:w="400" w:type="dxa"/>
          </w:tcPr>
          <w:p w14:paraId="67CA69D4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500" w:type="dxa"/>
          </w:tcPr>
          <w:p w14:paraId="5B4AD4DD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60D4FCDF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C13: Desplazamiento responsab.</w:t>
            </w:r>
          </w:p>
        </w:tc>
        <w:tc>
          <w:tcPr>
            <w:tcW w:w="900" w:type="dxa"/>
          </w:tcPr>
          <w:p w14:paraId="65F5E800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IC1,2</w:t>
            </w:r>
          </w:p>
        </w:tc>
        <w:tc>
          <w:tcPr>
            <w:tcW w:w="1100" w:type="dxa"/>
          </w:tcPr>
          <w:p w14:paraId="25D244E8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0EAA4A4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El mercado señalado como responsable de completar la formación que la universidad renuncia a proveer</w:t>
            </w:r>
          </w:p>
        </w:tc>
      </w:tr>
      <w:tr w:rsidR="00CC4F52" w:rsidRPr="00362A0D" w14:paraId="32B7F18E" w14:textId="77777777" w:rsidTr="00AF6D66">
        <w:tc>
          <w:tcPr>
            <w:tcW w:w="400" w:type="dxa"/>
          </w:tcPr>
          <w:p w14:paraId="3D6F7BB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500" w:type="dxa"/>
          </w:tcPr>
          <w:p w14:paraId="78E928E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23D37D44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C14: Histéresis curricular</w:t>
            </w:r>
          </w:p>
        </w:tc>
        <w:tc>
          <w:tcPr>
            <w:tcW w:w="900" w:type="dxa"/>
          </w:tcPr>
          <w:p w14:paraId="03794EAE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Tri.</w:t>
            </w:r>
          </w:p>
        </w:tc>
        <w:tc>
          <w:tcPr>
            <w:tcW w:w="1100" w:type="dxa"/>
          </w:tcPr>
          <w:p w14:paraId="5FCC2CC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36DF61CE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Sobrecualificación en bioseguridad (Gap +1.10): respuestas COVID incorporadas como estructura permanente</w:t>
            </w:r>
          </w:p>
        </w:tc>
      </w:tr>
      <w:tr w:rsidR="00CC4F52" w:rsidRPr="00362A0D" w14:paraId="248C4AEC" w14:textId="77777777" w:rsidTr="00AF6D66">
        <w:tc>
          <w:tcPr>
            <w:tcW w:w="400" w:type="dxa"/>
          </w:tcPr>
          <w:p w14:paraId="55BAA6A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500" w:type="dxa"/>
          </w:tcPr>
          <w:p w14:paraId="74976AB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6FE5F4D3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C14: Histéresis curricular</w:t>
            </w:r>
          </w:p>
        </w:tc>
        <w:tc>
          <w:tcPr>
            <w:tcW w:w="900" w:type="dxa"/>
          </w:tcPr>
          <w:p w14:paraId="63EE36B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Tri.</w:t>
            </w:r>
          </w:p>
        </w:tc>
        <w:tc>
          <w:tcPr>
            <w:tcW w:w="1100" w:type="dxa"/>
          </w:tcPr>
          <w:p w14:paraId="44B5F242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131B976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Déficit persistente en inglés técnico (Gap -1.80) pese a ser competencia estructural de internacionalización</w:t>
            </w:r>
          </w:p>
        </w:tc>
      </w:tr>
      <w:tr w:rsidR="00CC4F52" w:rsidRPr="00362A0D" w14:paraId="17381138" w14:textId="77777777" w:rsidTr="00AF6D66">
        <w:tc>
          <w:tcPr>
            <w:tcW w:w="400" w:type="dxa"/>
          </w:tcPr>
          <w:p w14:paraId="352306E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500" w:type="dxa"/>
          </w:tcPr>
          <w:p w14:paraId="1BCD2E47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29752985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C14: Histéresis curricular</w:t>
            </w:r>
          </w:p>
        </w:tc>
        <w:tc>
          <w:tcPr>
            <w:tcW w:w="900" w:type="dxa"/>
          </w:tcPr>
          <w:p w14:paraId="0EC690FC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Teor.</w:t>
            </w:r>
          </w:p>
        </w:tc>
        <w:tc>
          <w:tcPr>
            <w:tcW w:w="1100" w:type="dxa"/>
          </w:tcPr>
          <w:p w14:paraId="72B4D9D4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1F158265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Respuestas de emergencia pandémica incorporadas al currículo sin revisión posterior de pertinencia</w:t>
            </w:r>
          </w:p>
        </w:tc>
      </w:tr>
      <w:tr w:rsidR="00CC4F52" w:rsidRPr="00362A0D" w14:paraId="21E23ADC" w14:textId="77777777" w:rsidTr="00AF6D66">
        <w:tc>
          <w:tcPr>
            <w:tcW w:w="400" w:type="dxa"/>
          </w:tcPr>
          <w:p w14:paraId="5CF9517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500" w:type="dxa"/>
          </w:tcPr>
          <w:p w14:paraId="63B7C81A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 (múltiples dimensiones)</w:t>
            </w:r>
          </w:p>
        </w:tc>
        <w:tc>
          <w:tcPr>
            <w:tcW w:w="1300" w:type="dxa"/>
          </w:tcPr>
          <w:p w14:paraId="1C848748" w14:textId="77777777" w:rsidR="00CC4F52" w:rsidRPr="00362A0D" w:rsidRDefault="00A35C88">
            <w:pPr>
              <w:jc w:val="both"/>
            </w:pPr>
            <w:r w:rsidRPr="00362A0D">
              <w:rPr>
                <w:b/>
                <w:bCs/>
                <w:color w:val="000000"/>
                <w:sz w:val="16"/>
                <w:szCs w:val="16"/>
              </w:rPr>
              <w:t>C14: Histéresis curricular</w:t>
            </w:r>
          </w:p>
        </w:tc>
        <w:tc>
          <w:tcPr>
            <w:tcW w:w="900" w:type="dxa"/>
          </w:tcPr>
          <w:p w14:paraId="234695F9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Teor.</w:t>
            </w:r>
          </w:p>
        </w:tc>
        <w:tc>
          <w:tcPr>
            <w:tcW w:w="1100" w:type="dxa"/>
          </w:tcPr>
          <w:p w14:paraId="65F42980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Transversal</w:t>
            </w:r>
          </w:p>
        </w:tc>
        <w:tc>
          <w:tcPr>
            <w:tcW w:w="3826" w:type="dxa"/>
          </w:tcPr>
          <w:p w14:paraId="62E90E9B" w14:textId="77777777" w:rsidR="00CC4F52" w:rsidRPr="00362A0D" w:rsidRDefault="00A35C88">
            <w:pPr>
              <w:jc w:val="both"/>
            </w:pPr>
            <w:r w:rsidRPr="00362A0D">
              <w:rPr>
                <w:color w:val="000000"/>
                <w:sz w:val="16"/>
                <w:szCs w:val="16"/>
              </w:rPr>
              <w:t>Incapacidad institucional de reasignar recursos académicos frente a la aceleración del entorno productivo digital</w:t>
            </w:r>
          </w:p>
        </w:tc>
      </w:tr>
    </w:tbl>
    <w:p w14:paraId="7EF8C8A2" w14:textId="77777777" w:rsidR="00CC4F52" w:rsidRDefault="00A35C88">
      <w:pPr>
        <w:spacing w:before="80"/>
        <w:jc w:val="both"/>
      </w:pPr>
      <w:r w:rsidRPr="00362A0D">
        <w:rPr>
          <w:b/>
          <w:bCs/>
          <w:i/>
          <w:iCs/>
          <w:color w:val="000000"/>
          <w:sz w:val="18"/>
          <w:szCs w:val="18"/>
        </w:rPr>
        <w:lastRenderedPageBreak/>
        <w:t xml:space="preserve">Nota. </w:t>
      </w:r>
      <w:r w:rsidRPr="00362A0D">
        <w:rPr>
          <w:i/>
          <w:iCs/>
          <w:color w:val="000000"/>
          <w:sz w:val="18"/>
          <w:szCs w:val="18"/>
        </w:rPr>
        <w:t>Unidades de sentido extraídas de las transcripciones literales de las cinco entrevistas semiestructuradas (Grupo C, n=5). La reducción de 47 unidades a 14 códigos primarios siguió el procedimiento de codificación abierta y análisis axial (Strauss y Corbin, 1998). Los códigos C11–C14 son transversales porque emergieron en más de una dimensión del objetivo. IC = Informante Clave; Tri. = Triangulación con datos SERVQUAL; Teor. = Inferencia teórica fundamentada en el corpus. Categorías axiales: Inercia institucional (Rosenbaum, 2022; Aksom, 2022); Discurso vs. realidad (Van Dijk, 1999; Wodak y Meyer, 2001). Elaboración propia.</w:t>
      </w:r>
    </w:p>
    <w:sectPr w:rsidR="00CC4F52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07177"/>
    <w:multiLevelType w:val="hybridMultilevel"/>
    <w:tmpl w:val="4AF27372"/>
    <w:lvl w:ilvl="0" w:tplc="649E717E">
      <w:start w:val="1"/>
      <w:numFmt w:val="bullet"/>
      <w:lvlText w:val="●"/>
      <w:lvlJc w:val="left"/>
      <w:pPr>
        <w:ind w:left="720" w:hanging="360"/>
      </w:pPr>
    </w:lvl>
    <w:lvl w:ilvl="1" w:tplc="5A74B15E">
      <w:start w:val="1"/>
      <w:numFmt w:val="bullet"/>
      <w:lvlText w:val="○"/>
      <w:lvlJc w:val="left"/>
      <w:pPr>
        <w:ind w:left="1440" w:hanging="360"/>
      </w:pPr>
    </w:lvl>
    <w:lvl w:ilvl="2" w:tplc="E93079F6">
      <w:start w:val="1"/>
      <w:numFmt w:val="bullet"/>
      <w:lvlText w:val="■"/>
      <w:lvlJc w:val="left"/>
      <w:pPr>
        <w:ind w:left="2160" w:hanging="360"/>
      </w:pPr>
    </w:lvl>
    <w:lvl w:ilvl="3" w:tplc="6018F024">
      <w:start w:val="1"/>
      <w:numFmt w:val="bullet"/>
      <w:lvlText w:val="●"/>
      <w:lvlJc w:val="left"/>
      <w:pPr>
        <w:ind w:left="2880" w:hanging="360"/>
      </w:pPr>
    </w:lvl>
    <w:lvl w:ilvl="4" w:tplc="350A34D8">
      <w:start w:val="1"/>
      <w:numFmt w:val="bullet"/>
      <w:lvlText w:val="○"/>
      <w:lvlJc w:val="left"/>
      <w:pPr>
        <w:ind w:left="3600" w:hanging="360"/>
      </w:pPr>
    </w:lvl>
    <w:lvl w:ilvl="5" w:tplc="B08682FE">
      <w:start w:val="1"/>
      <w:numFmt w:val="bullet"/>
      <w:lvlText w:val="■"/>
      <w:lvlJc w:val="left"/>
      <w:pPr>
        <w:ind w:left="4320" w:hanging="360"/>
      </w:pPr>
    </w:lvl>
    <w:lvl w:ilvl="6" w:tplc="E2F2E250">
      <w:start w:val="1"/>
      <w:numFmt w:val="bullet"/>
      <w:lvlText w:val="●"/>
      <w:lvlJc w:val="left"/>
      <w:pPr>
        <w:ind w:left="5040" w:hanging="360"/>
      </w:pPr>
    </w:lvl>
    <w:lvl w:ilvl="7" w:tplc="C7689862">
      <w:start w:val="1"/>
      <w:numFmt w:val="bullet"/>
      <w:lvlText w:val="●"/>
      <w:lvlJc w:val="left"/>
      <w:pPr>
        <w:ind w:left="5760" w:hanging="360"/>
      </w:pPr>
    </w:lvl>
    <w:lvl w:ilvl="8" w:tplc="818675F2">
      <w:start w:val="1"/>
      <w:numFmt w:val="bullet"/>
      <w:lvlText w:val="●"/>
      <w:lvlJc w:val="left"/>
      <w:pPr>
        <w:ind w:left="6480" w:hanging="360"/>
      </w:pPr>
    </w:lvl>
  </w:abstractNum>
  <w:num w:numId="1" w16cid:durableId="70387320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F52"/>
    <w:rsid w:val="001B76D8"/>
    <w:rsid w:val="00362A0D"/>
    <w:rsid w:val="00A35C88"/>
    <w:rsid w:val="00AF6D66"/>
    <w:rsid w:val="00CC4F52"/>
    <w:rsid w:val="00D6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A52"/>
  <w15:docId w15:val="{57680846-E016-4232-A8A9-17CF7C38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Textoennegrita1">
    <w:name w:val="Texto en negrita1"/>
    <w:qFormat/>
    <w:rPr>
      <w:b/>
      <w:bCs/>
    </w:rPr>
  </w:style>
  <w:style w:type="paragraph" w:styleId="Prrafodelista">
    <w:name w:val="List Paragraph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  <w:style w:type="table" w:styleId="Tablaconcuadrcula">
    <w:name w:val="Table Grid"/>
    <w:basedOn w:val="Tablanormal"/>
    <w:uiPriority w:val="39"/>
    <w:rsid w:val="00AF6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User</cp:lastModifiedBy>
  <cp:revision>3</cp:revision>
  <dcterms:created xsi:type="dcterms:W3CDTF">2026-03-13T14:47:00Z</dcterms:created>
  <dcterms:modified xsi:type="dcterms:W3CDTF">2026-03-13T14:48:00Z</dcterms:modified>
</cp:coreProperties>
</file>